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ED" w:rsidRPr="00105613" w:rsidRDefault="00105613" w:rsidP="00105613">
      <w:pPr>
        <w:jc w:val="center"/>
        <w:rPr>
          <w:rFonts w:ascii="Bookman Old Style" w:hAnsi="Bookman Old Style"/>
          <w:b/>
          <w:caps/>
          <w:sz w:val="32"/>
          <w:szCs w:val="32"/>
        </w:rPr>
      </w:pPr>
      <w:bookmarkStart w:id="0" w:name="_GoBack"/>
      <w:bookmarkEnd w:id="0"/>
      <w:r w:rsidRPr="00105613">
        <w:rPr>
          <w:rFonts w:ascii="Bookman Old Style" w:hAnsi="Bookman Old Style"/>
          <w:b/>
          <w:caps/>
          <w:sz w:val="32"/>
          <w:szCs w:val="32"/>
        </w:rPr>
        <w:t>Memorandum of Understanding</w:t>
      </w:r>
    </w:p>
    <w:p w:rsidR="00105613" w:rsidRPr="00105613" w:rsidRDefault="00105613" w:rsidP="00105613">
      <w:pPr>
        <w:jc w:val="center"/>
        <w:rPr>
          <w:rFonts w:ascii="Bookman Old Style" w:hAnsi="Bookman Old Style"/>
          <w:b/>
          <w:sz w:val="28"/>
          <w:szCs w:val="28"/>
        </w:rPr>
      </w:pPr>
      <w:r w:rsidRPr="00105613">
        <w:rPr>
          <w:rFonts w:ascii="Bookman Old Style" w:hAnsi="Bookman Old Style"/>
          <w:b/>
          <w:sz w:val="28"/>
          <w:szCs w:val="28"/>
        </w:rPr>
        <w:t>Between</w:t>
      </w:r>
    </w:p>
    <w:p w:rsidR="00105613" w:rsidRPr="00105613" w:rsidRDefault="00105613" w:rsidP="00105613">
      <w:pPr>
        <w:jc w:val="center"/>
        <w:rPr>
          <w:rFonts w:ascii="Bookman Old Style" w:hAnsi="Bookman Old Style"/>
          <w:b/>
          <w:sz w:val="28"/>
          <w:szCs w:val="28"/>
        </w:rPr>
      </w:pPr>
      <w:r w:rsidRPr="00105613">
        <w:rPr>
          <w:rFonts w:ascii="Bookman Old Style" w:hAnsi="Bookman Old Style"/>
          <w:b/>
          <w:sz w:val="28"/>
          <w:szCs w:val="28"/>
        </w:rPr>
        <w:t>GA-505 Continuum of Care Board</w:t>
      </w:r>
    </w:p>
    <w:p w:rsidR="00105613" w:rsidRPr="00105613" w:rsidRDefault="00105613" w:rsidP="00105613">
      <w:pPr>
        <w:jc w:val="center"/>
        <w:rPr>
          <w:rFonts w:ascii="Bookman Old Style" w:hAnsi="Bookman Old Style"/>
          <w:b/>
          <w:sz w:val="28"/>
          <w:szCs w:val="28"/>
        </w:rPr>
      </w:pPr>
      <w:r w:rsidRPr="00105613">
        <w:rPr>
          <w:rFonts w:ascii="Bookman Old Style" w:hAnsi="Bookman Old Style"/>
          <w:b/>
          <w:sz w:val="28"/>
          <w:szCs w:val="28"/>
        </w:rPr>
        <w:t>and the</w:t>
      </w:r>
    </w:p>
    <w:p w:rsidR="00105613" w:rsidRPr="00105613" w:rsidRDefault="00105613" w:rsidP="00105613">
      <w:pPr>
        <w:jc w:val="center"/>
        <w:rPr>
          <w:rFonts w:ascii="Bookman Old Style" w:hAnsi="Bookman Old Style"/>
          <w:b/>
          <w:sz w:val="28"/>
          <w:szCs w:val="28"/>
        </w:rPr>
      </w:pPr>
      <w:r w:rsidRPr="00105613">
        <w:rPr>
          <w:rFonts w:ascii="Bookman Old Style" w:hAnsi="Bookman Old Style"/>
          <w:b/>
          <w:sz w:val="28"/>
          <w:szCs w:val="28"/>
        </w:rPr>
        <w:t>GA-505 Collaborative Applicant – Home for Good</w:t>
      </w:r>
    </w:p>
    <w:p w:rsidR="00105613" w:rsidRPr="00105613" w:rsidRDefault="00105613" w:rsidP="00105613">
      <w:pPr>
        <w:pStyle w:val="NoSpacing"/>
        <w:rPr>
          <w:rFonts w:ascii="Bookman Old Style" w:hAnsi="Bookman Old Style"/>
        </w:rPr>
      </w:pPr>
    </w:p>
    <w:p w:rsidR="00105613" w:rsidRDefault="00105613" w:rsidP="00105613">
      <w:pPr>
        <w:pStyle w:val="NoSpacing"/>
        <w:rPr>
          <w:rFonts w:ascii="Bookman Old Style" w:hAnsi="Bookman Old Style"/>
        </w:rPr>
      </w:pPr>
      <w:r w:rsidRPr="00105613">
        <w:rPr>
          <w:rFonts w:ascii="Bookman Old Style" w:hAnsi="Bookman Old Style"/>
          <w:b/>
        </w:rPr>
        <w:t>WHEREAS</w:t>
      </w:r>
      <w:r w:rsidRPr="00105613">
        <w:rPr>
          <w:rFonts w:ascii="Bookman Old Style" w:hAnsi="Bookman Old Style"/>
        </w:rPr>
        <w:t xml:space="preserve"> the Continuum of Care Board</w:t>
      </w:r>
      <w:r w:rsidR="00C51198">
        <w:rPr>
          <w:rFonts w:ascii="Bookman Old Style" w:hAnsi="Bookman Old Style"/>
        </w:rPr>
        <w:t xml:space="preserve"> of Directors</w:t>
      </w:r>
      <w:r w:rsidRPr="00105613">
        <w:rPr>
          <w:rFonts w:ascii="Bookman Old Style" w:hAnsi="Bookman Old Style"/>
        </w:rPr>
        <w:t xml:space="preserve"> (CoC Board) shall serve the geographic area of the Columbus-Muscogee/Russell County Continuum of Care GA-505, which includes all of Muscogee County, Georgia and Russell County, Alabama, to:</w:t>
      </w:r>
    </w:p>
    <w:p w:rsidR="00105613" w:rsidRDefault="00105613" w:rsidP="00105613">
      <w:pPr>
        <w:pStyle w:val="NoSpacing"/>
        <w:rPr>
          <w:rFonts w:ascii="Bookman Old Style" w:hAnsi="Bookman Old Style"/>
        </w:rPr>
      </w:pPr>
    </w:p>
    <w:p w:rsidR="00105613" w:rsidRDefault="00105613" w:rsidP="00105613">
      <w:pPr>
        <w:pStyle w:val="NoSpacing"/>
        <w:numPr>
          <w:ilvl w:val="0"/>
          <w:numId w:val="1"/>
        </w:numPr>
        <w:rPr>
          <w:rFonts w:ascii="Bookman Old Style" w:hAnsi="Bookman Old Style"/>
        </w:rPr>
      </w:pPr>
      <w:r>
        <w:rPr>
          <w:rFonts w:ascii="Bookman Old Style" w:hAnsi="Bookman Old Style"/>
        </w:rPr>
        <w:t>Promote community-wide commitment to the goal of ending homelessness;</w:t>
      </w:r>
    </w:p>
    <w:p w:rsidR="00105613" w:rsidRDefault="00105613" w:rsidP="00105613">
      <w:pPr>
        <w:pStyle w:val="NoSpacing"/>
        <w:numPr>
          <w:ilvl w:val="0"/>
          <w:numId w:val="1"/>
        </w:numPr>
        <w:rPr>
          <w:rFonts w:ascii="Bookman Old Style" w:hAnsi="Bookman Old Style"/>
        </w:rPr>
      </w:pPr>
      <w:r>
        <w:rPr>
          <w:rFonts w:ascii="Bookman Old Style" w:hAnsi="Bookman Old Style"/>
        </w:rPr>
        <w:t>Provide funding for efforts by nonprofit providers and local governments to re-house homeless individuals and families rapidly while minimizing the trauma and dislocation cause to homeless individuals, families, and communities as a consequence of homelessness;</w:t>
      </w:r>
    </w:p>
    <w:p w:rsidR="00105613" w:rsidRDefault="00937690" w:rsidP="00105613">
      <w:pPr>
        <w:pStyle w:val="NoSpacing"/>
        <w:numPr>
          <w:ilvl w:val="0"/>
          <w:numId w:val="1"/>
        </w:numPr>
        <w:rPr>
          <w:rFonts w:ascii="Bookman Old Style" w:hAnsi="Bookman Old Style"/>
        </w:rPr>
      </w:pPr>
      <w:r>
        <w:rPr>
          <w:rFonts w:ascii="Bookman Old Style" w:hAnsi="Bookman Old Style"/>
        </w:rPr>
        <w:t>Promote access to and effective utilization of mainstream programs by homeless individuals and families;</w:t>
      </w:r>
    </w:p>
    <w:p w:rsidR="00937690" w:rsidRDefault="00937690" w:rsidP="00105613">
      <w:pPr>
        <w:pStyle w:val="NoSpacing"/>
        <w:numPr>
          <w:ilvl w:val="0"/>
          <w:numId w:val="1"/>
        </w:numPr>
        <w:rPr>
          <w:rFonts w:ascii="Bookman Old Style" w:hAnsi="Bookman Old Style"/>
        </w:rPr>
      </w:pPr>
      <w:r>
        <w:rPr>
          <w:rFonts w:ascii="Bookman Old Style" w:hAnsi="Bookman Old Style"/>
        </w:rPr>
        <w:t xml:space="preserve">Optimize self-sufficiency among individuals and families experiencing </w:t>
      </w:r>
      <w:r w:rsidR="00DE68D0">
        <w:rPr>
          <w:rFonts w:ascii="Bookman Old Style" w:hAnsi="Bookman Old Style"/>
        </w:rPr>
        <w:t>homelessness; and</w:t>
      </w:r>
    </w:p>
    <w:p w:rsidR="00937690" w:rsidRDefault="00937690" w:rsidP="00937690">
      <w:pPr>
        <w:pStyle w:val="NoSpacing"/>
        <w:rPr>
          <w:rFonts w:ascii="Bookman Old Style" w:hAnsi="Bookman Old Style"/>
        </w:rPr>
      </w:pPr>
    </w:p>
    <w:p w:rsidR="00937690" w:rsidRDefault="00DE68D0" w:rsidP="00937690">
      <w:pPr>
        <w:pStyle w:val="NoSpacing"/>
        <w:rPr>
          <w:rFonts w:ascii="Bookman Old Style" w:hAnsi="Bookman Old Style"/>
        </w:rPr>
      </w:pPr>
      <w:r w:rsidRPr="00DE68D0">
        <w:rPr>
          <w:rFonts w:ascii="Bookman Old Style" w:hAnsi="Bookman Old Style"/>
          <w:b/>
        </w:rPr>
        <w:t>WHEREAS</w:t>
      </w:r>
      <w:r>
        <w:rPr>
          <w:rFonts w:ascii="Bookman Old Style" w:hAnsi="Bookman Old Style"/>
        </w:rPr>
        <w:t>, the CoC Board shall develop policies and procedures conforming to the U.S. Department of Housing and Urban Development (HUD) requirements detailed in 24 CFR part 578.1 to designate a Continuum of Care (CoC) Lead Agency to serve as the Collaborative Applicant to operate the CoC to support year-round CoC planning of homeless and homeless prevention housing and services; and</w:t>
      </w:r>
    </w:p>
    <w:p w:rsidR="00DE68D0" w:rsidRDefault="00DE68D0" w:rsidP="00937690">
      <w:pPr>
        <w:pStyle w:val="NoSpacing"/>
        <w:rPr>
          <w:rFonts w:ascii="Bookman Old Style" w:hAnsi="Bookman Old Style"/>
        </w:rPr>
      </w:pPr>
    </w:p>
    <w:p w:rsidR="00DE68D0" w:rsidRDefault="00DE68D0" w:rsidP="00937690">
      <w:pPr>
        <w:pStyle w:val="NoSpacing"/>
        <w:rPr>
          <w:rFonts w:ascii="Bookman Old Style" w:hAnsi="Bookman Old Style"/>
        </w:rPr>
      </w:pPr>
      <w:r w:rsidRPr="00DE68D0">
        <w:rPr>
          <w:rFonts w:ascii="Bookman Old Style" w:hAnsi="Bookman Old Style"/>
          <w:b/>
        </w:rPr>
        <w:t>WHEREAS</w:t>
      </w:r>
      <w:r>
        <w:rPr>
          <w:rFonts w:ascii="Bookman Old Style" w:hAnsi="Bookman Old Style"/>
        </w:rPr>
        <w:t>, Home for Good (HfG) has been designated as the Collaborative Applicant by Resolution of the CoC Board, and as such, is the sole eligible applicant for the HUD CoC Program Planning Grant funds, and shall manage the required HUD process on behalf of the CoC Board to ensure the maximum amount of funds are received by the CoC jurisdiction and that the CoC is in compliance with all applicable HUD rules and regulations; and,</w:t>
      </w:r>
    </w:p>
    <w:p w:rsidR="00DE68D0" w:rsidRDefault="00DE68D0" w:rsidP="00937690">
      <w:pPr>
        <w:pStyle w:val="NoSpacing"/>
        <w:rPr>
          <w:rFonts w:ascii="Bookman Old Style" w:hAnsi="Bookman Old Style"/>
        </w:rPr>
      </w:pPr>
    </w:p>
    <w:p w:rsidR="00DE68D0" w:rsidRDefault="00DE68D0" w:rsidP="00937690">
      <w:pPr>
        <w:pStyle w:val="NoSpacing"/>
        <w:rPr>
          <w:rFonts w:ascii="Bookman Old Style" w:hAnsi="Bookman Old Style"/>
        </w:rPr>
      </w:pPr>
      <w:r w:rsidRPr="00DE68D0">
        <w:rPr>
          <w:rFonts w:ascii="Bookman Old Style" w:hAnsi="Bookman Old Style"/>
          <w:b/>
        </w:rPr>
        <w:t>WHEREAS</w:t>
      </w:r>
      <w:r>
        <w:rPr>
          <w:rFonts w:ascii="Bookman Old Style" w:hAnsi="Bookman Old Style"/>
        </w:rPr>
        <w:t>, HfG has been designated as the Administrator of the Homeless Management Information System (HMIS) by Resolution of the CoC Board,</w:t>
      </w:r>
    </w:p>
    <w:p w:rsidR="00DE68D0" w:rsidRDefault="00DE68D0" w:rsidP="00937690">
      <w:pPr>
        <w:pStyle w:val="NoSpacing"/>
        <w:rPr>
          <w:rFonts w:ascii="Bookman Old Style" w:hAnsi="Bookman Old Style"/>
        </w:rPr>
      </w:pPr>
    </w:p>
    <w:p w:rsidR="00DE68D0" w:rsidRDefault="00DE68D0" w:rsidP="00937690">
      <w:pPr>
        <w:pStyle w:val="NoSpacing"/>
        <w:rPr>
          <w:rFonts w:ascii="Bookman Old Style" w:hAnsi="Bookman Old Style"/>
        </w:rPr>
      </w:pPr>
      <w:r>
        <w:rPr>
          <w:rFonts w:ascii="Bookman Old Style" w:hAnsi="Bookman Old Style"/>
        </w:rPr>
        <w:t>The parties agree to the following:</w:t>
      </w:r>
    </w:p>
    <w:p w:rsidR="00DE68D0" w:rsidRDefault="00DE68D0" w:rsidP="00937690">
      <w:pPr>
        <w:pStyle w:val="NoSpacing"/>
        <w:rPr>
          <w:rFonts w:ascii="Bookman Old Style" w:hAnsi="Bookman Old Style"/>
        </w:rPr>
      </w:pPr>
    </w:p>
    <w:p w:rsidR="00DE68D0" w:rsidRDefault="00DE68D0" w:rsidP="00937690">
      <w:pPr>
        <w:pStyle w:val="NoSpacing"/>
        <w:rPr>
          <w:rFonts w:ascii="Bookman Old Style" w:hAnsi="Bookman Old Style"/>
        </w:rPr>
      </w:pPr>
      <w:r>
        <w:rPr>
          <w:rFonts w:ascii="Bookman Old Style" w:hAnsi="Bookman Old Style"/>
          <w:b/>
        </w:rPr>
        <w:t>ROLES AND RESPONSIBILITIES OF THE COLLABORATIVE APPLICANT:</w:t>
      </w:r>
    </w:p>
    <w:p w:rsidR="00376596" w:rsidRDefault="00376596" w:rsidP="00937690">
      <w:pPr>
        <w:pStyle w:val="NoSpacing"/>
        <w:rPr>
          <w:rFonts w:ascii="Bookman Old Style" w:hAnsi="Bookman Old Style"/>
        </w:rPr>
      </w:pPr>
    </w:p>
    <w:p w:rsidR="00376596" w:rsidRDefault="00376596" w:rsidP="00376596">
      <w:pPr>
        <w:pStyle w:val="NoSpacing"/>
        <w:numPr>
          <w:ilvl w:val="0"/>
          <w:numId w:val="2"/>
        </w:numPr>
        <w:rPr>
          <w:rFonts w:ascii="Bookman Old Style" w:hAnsi="Bookman Old Style"/>
        </w:rPr>
      </w:pPr>
      <w:r>
        <w:rPr>
          <w:rFonts w:ascii="Bookman Old Style" w:hAnsi="Bookman Old Style"/>
        </w:rPr>
        <w:t>Keep the CoC Board up to date on relevant changes in HUD rules and regulations</w:t>
      </w:r>
    </w:p>
    <w:p w:rsidR="00376596" w:rsidRDefault="00376596" w:rsidP="00376596">
      <w:pPr>
        <w:pStyle w:val="NoSpacing"/>
        <w:numPr>
          <w:ilvl w:val="0"/>
          <w:numId w:val="2"/>
        </w:numPr>
        <w:rPr>
          <w:rFonts w:ascii="Bookman Old Style" w:hAnsi="Bookman Old Style"/>
        </w:rPr>
      </w:pPr>
      <w:r>
        <w:rPr>
          <w:rFonts w:ascii="Bookman Old Style" w:hAnsi="Bookman Old Style"/>
        </w:rPr>
        <w:t>Provide a Quarterly Collaborative Applicant/CoC Progress Planning report</w:t>
      </w:r>
    </w:p>
    <w:p w:rsidR="00373A4F" w:rsidRDefault="00373A4F" w:rsidP="00376596">
      <w:pPr>
        <w:pStyle w:val="NoSpacing"/>
        <w:numPr>
          <w:ilvl w:val="0"/>
          <w:numId w:val="2"/>
        </w:numPr>
        <w:rPr>
          <w:rFonts w:ascii="Bookman Old Style" w:hAnsi="Bookman Old Style"/>
        </w:rPr>
      </w:pPr>
      <w:r>
        <w:rPr>
          <w:rFonts w:ascii="Bookman Old Style" w:hAnsi="Bookman Old Style"/>
        </w:rPr>
        <w:lastRenderedPageBreak/>
        <w:t>Provide a Quarterly Financial report</w:t>
      </w:r>
    </w:p>
    <w:p w:rsidR="00376596" w:rsidRDefault="00376596" w:rsidP="00376596">
      <w:pPr>
        <w:pStyle w:val="NoSpacing"/>
        <w:numPr>
          <w:ilvl w:val="0"/>
          <w:numId w:val="2"/>
        </w:numPr>
        <w:rPr>
          <w:rFonts w:ascii="Bookman Old Style" w:hAnsi="Bookman Old Style"/>
        </w:rPr>
      </w:pPr>
      <w:r>
        <w:rPr>
          <w:rFonts w:ascii="Bookman Old Style" w:hAnsi="Bookman Old Style"/>
        </w:rPr>
        <w:t>Conduct the HUD CoC Program Grant Application process</w:t>
      </w:r>
    </w:p>
    <w:p w:rsidR="00376596" w:rsidRDefault="00376596" w:rsidP="00376596">
      <w:pPr>
        <w:pStyle w:val="NoSpacing"/>
        <w:numPr>
          <w:ilvl w:val="0"/>
          <w:numId w:val="2"/>
        </w:numPr>
        <w:rPr>
          <w:rFonts w:ascii="Bookman Old Style" w:hAnsi="Bookman Old Style"/>
        </w:rPr>
      </w:pPr>
      <w:r>
        <w:rPr>
          <w:rFonts w:ascii="Bookman Old Style" w:hAnsi="Bookman Old Style"/>
        </w:rPr>
        <w:t>Produce Annual Reports including:</w:t>
      </w:r>
    </w:p>
    <w:p w:rsidR="00376596" w:rsidRDefault="00376596" w:rsidP="00376596">
      <w:pPr>
        <w:pStyle w:val="NoSpacing"/>
        <w:numPr>
          <w:ilvl w:val="1"/>
          <w:numId w:val="2"/>
        </w:numPr>
        <w:rPr>
          <w:rFonts w:ascii="Bookman Old Style" w:hAnsi="Bookman Old Style"/>
        </w:rPr>
      </w:pPr>
      <w:r>
        <w:rPr>
          <w:rFonts w:ascii="Bookman Old Style" w:hAnsi="Bookman Old Style"/>
        </w:rPr>
        <w:t>State of the Homeless Address report on homeless services needs and gaps</w:t>
      </w:r>
    </w:p>
    <w:p w:rsidR="00376596" w:rsidRDefault="00376596" w:rsidP="00376596">
      <w:pPr>
        <w:pStyle w:val="NoSpacing"/>
        <w:numPr>
          <w:ilvl w:val="1"/>
          <w:numId w:val="2"/>
        </w:numPr>
        <w:rPr>
          <w:rFonts w:ascii="Bookman Old Style" w:hAnsi="Bookman Old Style"/>
        </w:rPr>
      </w:pPr>
      <w:r>
        <w:rPr>
          <w:rFonts w:ascii="Bookman Old Style" w:hAnsi="Bookman Old Style"/>
        </w:rPr>
        <w:t xml:space="preserve">Point </w:t>
      </w:r>
      <w:r w:rsidR="00160AF7">
        <w:rPr>
          <w:rFonts w:ascii="Bookman Old Style" w:hAnsi="Bookman Old Style"/>
        </w:rPr>
        <w:t>in</w:t>
      </w:r>
      <w:r>
        <w:rPr>
          <w:rFonts w:ascii="Bookman Old Style" w:hAnsi="Bookman Old Style"/>
        </w:rPr>
        <w:t xml:space="preserve"> Time (PIT) Count</w:t>
      </w:r>
    </w:p>
    <w:p w:rsidR="00376596" w:rsidRDefault="00376596" w:rsidP="00376596">
      <w:pPr>
        <w:pStyle w:val="NoSpacing"/>
        <w:numPr>
          <w:ilvl w:val="1"/>
          <w:numId w:val="2"/>
        </w:numPr>
        <w:rPr>
          <w:rFonts w:ascii="Bookman Old Style" w:hAnsi="Bookman Old Style"/>
        </w:rPr>
      </w:pPr>
      <w:r>
        <w:rPr>
          <w:rFonts w:ascii="Bookman Old Style" w:hAnsi="Bookman Old Style"/>
        </w:rPr>
        <w:t>Housing Inventory Chart (HIC)</w:t>
      </w:r>
    </w:p>
    <w:p w:rsidR="00376596" w:rsidRDefault="00376596" w:rsidP="00376596">
      <w:pPr>
        <w:pStyle w:val="NoSpacing"/>
        <w:numPr>
          <w:ilvl w:val="1"/>
          <w:numId w:val="2"/>
        </w:numPr>
        <w:rPr>
          <w:rFonts w:ascii="Bookman Old Style" w:hAnsi="Bookman Old Style"/>
        </w:rPr>
      </w:pPr>
      <w:r>
        <w:rPr>
          <w:rFonts w:ascii="Bookman Old Style" w:hAnsi="Bookman Old Style"/>
        </w:rPr>
        <w:t>Annual Homeless Assessment Report (AHAR)</w:t>
      </w:r>
    </w:p>
    <w:p w:rsidR="00376596" w:rsidRDefault="00376596" w:rsidP="00376596">
      <w:pPr>
        <w:pStyle w:val="NoSpacing"/>
        <w:numPr>
          <w:ilvl w:val="1"/>
          <w:numId w:val="2"/>
        </w:numPr>
        <w:rPr>
          <w:rFonts w:ascii="Bookman Old Style" w:hAnsi="Bookman Old Style"/>
        </w:rPr>
      </w:pPr>
      <w:r>
        <w:rPr>
          <w:rFonts w:ascii="Bookman Old Style" w:hAnsi="Bookman Old Style"/>
        </w:rPr>
        <w:t>CoC Program Grant Score Debrief and Improvement Report</w:t>
      </w:r>
    </w:p>
    <w:p w:rsidR="00376596" w:rsidRDefault="00376596" w:rsidP="00376596">
      <w:pPr>
        <w:pStyle w:val="NoSpacing"/>
        <w:numPr>
          <w:ilvl w:val="1"/>
          <w:numId w:val="2"/>
        </w:numPr>
        <w:rPr>
          <w:rFonts w:ascii="Bookman Old Style" w:hAnsi="Bookman Old Style"/>
        </w:rPr>
      </w:pPr>
      <w:r>
        <w:rPr>
          <w:rFonts w:ascii="Bookman Old Style" w:hAnsi="Bookman Old Style"/>
        </w:rPr>
        <w:t>Annual Performance Report (PR)</w:t>
      </w:r>
    </w:p>
    <w:p w:rsidR="00376596" w:rsidRDefault="00376596" w:rsidP="00376596">
      <w:pPr>
        <w:pStyle w:val="NoSpacing"/>
        <w:numPr>
          <w:ilvl w:val="0"/>
          <w:numId w:val="2"/>
        </w:numPr>
        <w:rPr>
          <w:rFonts w:ascii="Bookman Old Style" w:hAnsi="Bookman Old Style"/>
        </w:rPr>
      </w:pPr>
      <w:r>
        <w:rPr>
          <w:rFonts w:ascii="Bookman Old Style" w:hAnsi="Bookman Old Style"/>
        </w:rPr>
        <w:t xml:space="preserve">Develop CoC performance </w:t>
      </w:r>
      <w:r w:rsidR="005D6149">
        <w:rPr>
          <w:rFonts w:ascii="Bookman Old Style" w:hAnsi="Bookman Old Style"/>
        </w:rPr>
        <w:t>measures</w:t>
      </w:r>
      <w:r>
        <w:rPr>
          <w:rFonts w:ascii="Bookman Old Style" w:hAnsi="Bookman Old Style"/>
        </w:rPr>
        <w:t xml:space="preserve"> appropriate for each population and program type based on HUD performance standards identified in HUD guidance, NOFAs and notices.</w:t>
      </w:r>
    </w:p>
    <w:p w:rsidR="00E468DC" w:rsidRDefault="00E468DC" w:rsidP="00376596">
      <w:pPr>
        <w:pStyle w:val="NoSpacing"/>
        <w:numPr>
          <w:ilvl w:val="0"/>
          <w:numId w:val="2"/>
        </w:numPr>
        <w:rPr>
          <w:rFonts w:ascii="Bookman Old Style" w:hAnsi="Bookman Old Style"/>
        </w:rPr>
      </w:pPr>
      <w:r>
        <w:rPr>
          <w:rFonts w:ascii="Bookman Old Style" w:hAnsi="Bookman Old Style"/>
        </w:rPr>
        <w:t xml:space="preserve">Conduct </w:t>
      </w:r>
      <w:r w:rsidR="005D6149">
        <w:rPr>
          <w:rFonts w:ascii="Bookman Old Style" w:hAnsi="Bookman Old Style"/>
        </w:rPr>
        <w:t xml:space="preserve">quarterly </w:t>
      </w:r>
      <w:r>
        <w:rPr>
          <w:rFonts w:ascii="Bookman Old Style" w:hAnsi="Bookman Old Style"/>
        </w:rPr>
        <w:t>Performance Monitoring, Evaluation and Reporting of all CoC Program and Emergency Solutions Grant (ESG) Program Recipients and Sub recipients.</w:t>
      </w:r>
    </w:p>
    <w:p w:rsidR="00E468DC" w:rsidRDefault="00E468DC" w:rsidP="00376596">
      <w:pPr>
        <w:pStyle w:val="NoSpacing"/>
        <w:numPr>
          <w:ilvl w:val="0"/>
          <w:numId w:val="2"/>
        </w:numPr>
        <w:rPr>
          <w:rFonts w:ascii="Bookman Old Style" w:hAnsi="Bookman Old Style"/>
        </w:rPr>
      </w:pPr>
      <w:r>
        <w:rPr>
          <w:rFonts w:ascii="Bookman Old Style" w:hAnsi="Bookman Old Style"/>
        </w:rPr>
        <w:t>Serve as the HMIS Lead Agency, operating the HMIS compliant with the HUD HMIS CoC Program Grant and data collection and reporting standards.</w:t>
      </w:r>
    </w:p>
    <w:p w:rsidR="00E468DC" w:rsidRDefault="00E468DC" w:rsidP="00376596">
      <w:pPr>
        <w:pStyle w:val="NoSpacing"/>
        <w:numPr>
          <w:ilvl w:val="0"/>
          <w:numId w:val="2"/>
        </w:numPr>
        <w:rPr>
          <w:rFonts w:ascii="Bookman Old Style" w:hAnsi="Bookman Old Style"/>
        </w:rPr>
      </w:pPr>
      <w:r>
        <w:rPr>
          <w:rFonts w:ascii="Bookman Old Style" w:hAnsi="Bookman Old Style"/>
        </w:rPr>
        <w:t xml:space="preserve">Coordinate and facilitate collaboration, </w:t>
      </w:r>
      <w:r w:rsidR="00160AF7">
        <w:rPr>
          <w:rFonts w:ascii="Bookman Old Style" w:hAnsi="Bookman Old Style"/>
        </w:rPr>
        <w:t>training,</w:t>
      </w:r>
      <w:r>
        <w:rPr>
          <w:rFonts w:ascii="Bookman Old Style" w:hAnsi="Bookman Old Style"/>
        </w:rPr>
        <w:t xml:space="preserve"> and technical assistance among agencies to ensure successful planning and partnerships in the CoC geographic area.</w:t>
      </w:r>
    </w:p>
    <w:p w:rsidR="00E468DC" w:rsidRDefault="00E468DC" w:rsidP="00E468DC">
      <w:pPr>
        <w:pStyle w:val="NoSpacing"/>
        <w:rPr>
          <w:rFonts w:ascii="Bookman Old Style" w:hAnsi="Bookman Old Style"/>
        </w:rPr>
      </w:pPr>
    </w:p>
    <w:p w:rsidR="00E468DC" w:rsidRDefault="00E468DC" w:rsidP="00E468DC">
      <w:pPr>
        <w:pStyle w:val="NoSpacing"/>
        <w:rPr>
          <w:rFonts w:ascii="Bookman Old Style" w:hAnsi="Bookman Old Style"/>
        </w:rPr>
      </w:pPr>
      <w:r>
        <w:rPr>
          <w:rFonts w:ascii="Bookman Old Style" w:hAnsi="Bookman Old Style"/>
          <w:b/>
        </w:rPr>
        <w:t>ROLES AND RESPONSIBILITIES OF THE C</w:t>
      </w:r>
      <w:r w:rsidR="00C51198">
        <w:rPr>
          <w:rFonts w:ascii="Bookman Old Style" w:hAnsi="Bookman Old Style"/>
          <w:b/>
        </w:rPr>
        <w:t>O</w:t>
      </w:r>
      <w:r>
        <w:rPr>
          <w:rFonts w:ascii="Bookman Old Style" w:hAnsi="Bookman Old Style"/>
          <w:b/>
        </w:rPr>
        <w:t>C BOARD</w:t>
      </w:r>
    </w:p>
    <w:p w:rsidR="00E468DC" w:rsidRDefault="00E468DC" w:rsidP="00E468DC">
      <w:pPr>
        <w:pStyle w:val="NoSpacing"/>
        <w:rPr>
          <w:rFonts w:ascii="Bookman Old Style" w:hAnsi="Bookman Old Style"/>
        </w:rPr>
      </w:pPr>
    </w:p>
    <w:p w:rsidR="00E468DC" w:rsidRDefault="00E468DC" w:rsidP="00E468DC">
      <w:pPr>
        <w:pStyle w:val="NoSpacing"/>
        <w:numPr>
          <w:ilvl w:val="0"/>
          <w:numId w:val="3"/>
        </w:numPr>
        <w:rPr>
          <w:rFonts w:ascii="Bookman Old Style" w:hAnsi="Bookman Old Style"/>
        </w:rPr>
      </w:pPr>
      <w:r>
        <w:rPr>
          <w:rFonts w:ascii="Bookman Old Style" w:hAnsi="Bookman Old Style"/>
        </w:rPr>
        <w:t>Maintain CoC Board and CoC Committee meeting agendas and minutes.  Meeting agendas will be posted to the HfG website.  Meeting agendas will be posted to the HfG website in a timely fashion, and no less than 72 hours prior to the meeting times.</w:t>
      </w:r>
    </w:p>
    <w:p w:rsidR="00373A4F" w:rsidRDefault="00373A4F" w:rsidP="00E468DC">
      <w:pPr>
        <w:pStyle w:val="NoSpacing"/>
        <w:numPr>
          <w:ilvl w:val="0"/>
          <w:numId w:val="3"/>
        </w:numPr>
        <w:rPr>
          <w:rFonts w:ascii="Bookman Old Style" w:hAnsi="Bookman Old Style"/>
        </w:rPr>
      </w:pPr>
      <w:r>
        <w:rPr>
          <w:rFonts w:ascii="Bookman Old Style" w:hAnsi="Bookman Old Style"/>
        </w:rPr>
        <w:t>Collaborate to ensure a systematic approach to the work of HfG</w:t>
      </w:r>
    </w:p>
    <w:p w:rsidR="00E468DC" w:rsidRDefault="00E468DC" w:rsidP="00E468DC">
      <w:pPr>
        <w:pStyle w:val="NoSpacing"/>
        <w:numPr>
          <w:ilvl w:val="0"/>
          <w:numId w:val="3"/>
        </w:numPr>
        <w:rPr>
          <w:rFonts w:ascii="Bookman Old Style" w:hAnsi="Bookman Old Style"/>
        </w:rPr>
      </w:pPr>
      <w:r>
        <w:rPr>
          <w:rFonts w:ascii="Bookman Old Style" w:hAnsi="Bookman Old Style"/>
        </w:rPr>
        <w:t xml:space="preserve">Establish funding priorities for CoC Program and ESG assistance through fair, </w:t>
      </w:r>
      <w:r w:rsidR="00160AF7">
        <w:rPr>
          <w:rFonts w:ascii="Bookman Old Style" w:hAnsi="Bookman Old Style"/>
        </w:rPr>
        <w:t>objective,</w:t>
      </w:r>
      <w:r>
        <w:rPr>
          <w:rFonts w:ascii="Bookman Old Style" w:hAnsi="Bookman Old Style"/>
        </w:rPr>
        <w:t xml:space="preserve"> and transparent processes.</w:t>
      </w:r>
    </w:p>
    <w:p w:rsidR="00E468DC" w:rsidRDefault="00E468DC" w:rsidP="00E468DC">
      <w:pPr>
        <w:pStyle w:val="NoSpacing"/>
        <w:numPr>
          <w:ilvl w:val="0"/>
          <w:numId w:val="3"/>
        </w:numPr>
        <w:rPr>
          <w:rFonts w:ascii="Bookman Old Style" w:hAnsi="Bookman Old Style"/>
        </w:rPr>
      </w:pPr>
      <w:r>
        <w:rPr>
          <w:rFonts w:ascii="Bookman Old Style" w:hAnsi="Bookman Old Style"/>
        </w:rPr>
        <w:t>Approve policies and procedures for the performance monitoring, evaluation and reporting of all CoC Program and</w:t>
      </w:r>
      <w:r w:rsidR="00160AF7">
        <w:rPr>
          <w:rFonts w:ascii="Bookman Old Style" w:hAnsi="Bookman Old Style"/>
        </w:rPr>
        <w:t xml:space="preserve"> ESG Recipients and Sub recipients.</w:t>
      </w:r>
    </w:p>
    <w:p w:rsidR="00160AF7" w:rsidRDefault="00160AF7" w:rsidP="00E468DC">
      <w:pPr>
        <w:pStyle w:val="NoSpacing"/>
        <w:numPr>
          <w:ilvl w:val="0"/>
          <w:numId w:val="3"/>
        </w:numPr>
        <w:rPr>
          <w:rFonts w:ascii="Bookman Old Style" w:hAnsi="Bookman Old Style"/>
        </w:rPr>
      </w:pPr>
      <w:r>
        <w:rPr>
          <w:rFonts w:ascii="Bookman Old Style" w:hAnsi="Bookman Old Style"/>
        </w:rPr>
        <w:t>Ensure that any potential and/or perceived conflicts of interest are addressed in an effective, open, and timely manner.</w:t>
      </w:r>
    </w:p>
    <w:p w:rsidR="00160AF7" w:rsidRDefault="00160AF7" w:rsidP="00E468DC">
      <w:pPr>
        <w:pStyle w:val="NoSpacing"/>
        <w:numPr>
          <w:ilvl w:val="0"/>
          <w:numId w:val="3"/>
        </w:numPr>
        <w:rPr>
          <w:rFonts w:ascii="Bookman Old Style" w:hAnsi="Bookman Old Style"/>
        </w:rPr>
      </w:pPr>
      <w:r>
        <w:rPr>
          <w:rFonts w:ascii="Bookman Old Style" w:hAnsi="Bookman Old Style"/>
        </w:rPr>
        <w:t>Collaborate to secure and align local public and private funds, state funds and federal funds to prevent and end homelessness.</w:t>
      </w:r>
    </w:p>
    <w:p w:rsidR="00160AF7" w:rsidRDefault="00160AF7" w:rsidP="00E468DC">
      <w:pPr>
        <w:pStyle w:val="NoSpacing"/>
        <w:numPr>
          <w:ilvl w:val="0"/>
          <w:numId w:val="3"/>
        </w:numPr>
        <w:rPr>
          <w:rFonts w:ascii="Bookman Old Style" w:hAnsi="Bookman Old Style"/>
        </w:rPr>
      </w:pPr>
      <w:r>
        <w:rPr>
          <w:rFonts w:ascii="Bookman Old Style" w:hAnsi="Bookman Old Style"/>
        </w:rPr>
        <w:t>Review and approve the funding application and response to HUD’s annual CoC program NOFA for homelessness assistance resources</w:t>
      </w:r>
    </w:p>
    <w:p w:rsidR="00160AF7" w:rsidRDefault="00160AF7" w:rsidP="00E468DC">
      <w:pPr>
        <w:pStyle w:val="NoSpacing"/>
        <w:numPr>
          <w:ilvl w:val="0"/>
          <w:numId w:val="3"/>
        </w:numPr>
        <w:rPr>
          <w:rFonts w:ascii="Bookman Old Style" w:hAnsi="Bookman Old Style"/>
        </w:rPr>
      </w:pPr>
      <w:r>
        <w:rPr>
          <w:rFonts w:ascii="Bookman Old Style" w:hAnsi="Bookman Old Style"/>
        </w:rPr>
        <w:t>Approve CoC performance targets appropriate for each population and program type.</w:t>
      </w:r>
    </w:p>
    <w:p w:rsidR="00160AF7" w:rsidRDefault="00160AF7" w:rsidP="00E468DC">
      <w:pPr>
        <w:pStyle w:val="NoSpacing"/>
        <w:numPr>
          <w:ilvl w:val="0"/>
          <w:numId w:val="3"/>
        </w:numPr>
        <w:rPr>
          <w:rFonts w:ascii="Bookman Old Style" w:hAnsi="Bookman Old Style"/>
        </w:rPr>
      </w:pPr>
      <w:r>
        <w:rPr>
          <w:rFonts w:ascii="Bookman Old Style" w:hAnsi="Bookman Old Style"/>
        </w:rPr>
        <w:t>Provide to HfG an annual planning timeline and data and analysis information needs.</w:t>
      </w:r>
    </w:p>
    <w:p w:rsidR="00160AF7" w:rsidRDefault="00160AF7" w:rsidP="00E468DC">
      <w:pPr>
        <w:pStyle w:val="NoSpacing"/>
        <w:numPr>
          <w:ilvl w:val="0"/>
          <w:numId w:val="3"/>
        </w:numPr>
        <w:rPr>
          <w:rFonts w:ascii="Bookman Old Style" w:hAnsi="Bookman Old Style"/>
        </w:rPr>
      </w:pPr>
      <w:r w:rsidRPr="00160AF7">
        <w:rPr>
          <w:rFonts w:ascii="Bookman Old Style" w:hAnsi="Bookman Old Style"/>
        </w:rPr>
        <w:t xml:space="preserve">Conduct </w:t>
      </w:r>
      <w:r>
        <w:rPr>
          <w:rFonts w:ascii="Bookman Old Style" w:hAnsi="Bookman Old Style"/>
        </w:rPr>
        <w:t xml:space="preserve">a </w:t>
      </w:r>
      <w:r w:rsidRPr="00160AF7">
        <w:rPr>
          <w:rFonts w:ascii="Bookman Old Style" w:hAnsi="Bookman Old Style"/>
        </w:rPr>
        <w:t>biennial</w:t>
      </w:r>
      <w:r>
        <w:rPr>
          <w:rFonts w:ascii="Bookman Old Style" w:hAnsi="Bookman Old Style"/>
        </w:rPr>
        <w:t xml:space="preserve"> performance review of HfG</w:t>
      </w:r>
    </w:p>
    <w:p w:rsidR="00160AF7" w:rsidRDefault="00160AF7" w:rsidP="00160AF7">
      <w:pPr>
        <w:pStyle w:val="NoSpacing"/>
        <w:rPr>
          <w:rFonts w:ascii="Bookman Old Style" w:hAnsi="Bookman Old Style"/>
        </w:rPr>
      </w:pPr>
    </w:p>
    <w:p w:rsidR="00160AF7" w:rsidRPr="00C92A18" w:rsidRDefault="00160AF7" w:rsidP="00160AF7">
      <w:pPr>
        <w:pStyle w:val="NoSpacing"/>
        <w:rPr>
          <w:rFonts w:ascii="Bookman Old Style" w:hAnsi="Bookman Old Style"/>
          <w:b/>
        </w:rPr>
      </w:pPr>
      <w:r w:rsidRPr="00C92A18">
        <w:rPr>
          <w:rFonts w:ascii="Bookman Old Style" w:hAnsi="Bookman Old Style"/>
          <w:b/>
        </w:rPr>
        <w:t>DURATION AND RENEWAL</w:t>
      </w:r>
    </w:p>
    <w:p w:rsidR="00160AF7" w:rsidRDefault="00160AF7" w:rsidP="00160AF7">
      <w:pPr>
        <w:pStyle w:val="NoSpacing"/>
        <w:rPr>
          <w:rFonts w:ascii="Bookman Old Style" w:hAnsi="Bookman Old Style"/>
        </w:rPr>
      </w:pPr>
    </w:p>
    <w:p w:rsidR="00160AF7" w:rsidRDefault="00160AF7" w:rsidP="00160AF7">
      <w:pPr>
        <w:pStyle w:val="NoSpacing"/>
        <w:rPr>
          <w:rFonts w:ascii="Bookman Old Style" w:hAnsi="Bookman Old Style"/>
        </w:rPr>
      </w:pPr>
      <w:r>
        <w:rPr>
          <w:rFonts w:ascii="Bookman Old Style" w:hAnsi="Bookman Old Style"/>
        </w:rPr>
        <w:t xml:space="preserve">Except as provided in the termination section, the duration of this MOU shall be from July 1, 2017 through June </w:t>
      </w:r>
      <w:r w:rsidR="00C51198">
        <w:rPr>
          <w:rFonts w:ascii="Bookman Old Style" w:hAnsi="Bookman Old Style"/>
        </w:rPr>
        <w:t>3</w:t>
      </w:r>
      <w:r>
        <w:rPr>
          <w:rFonts w:ascii="Bookman Old Style" w:hAnsi="Bookman Old Style"/>
        </w:rPr>
        <w:t>0, 2018.  This agreement shall renew automatically unless either pa</w:t>
      </w:r>
      <w:r w:rsidR="00C92A18">
        <w:rPr>
          <w:rFonts w:ascii="Bookman Old Style" w:hAnsi="Bookman Old Style"/>
        </w:rPr>
        <w:t>rty gives notifica</w:t>
      </w:r>
      <w:r>
        <w:rPr>
          <w:rFonts w:ascii="Bookman Old Style" w:hAnsi="Bookman Old Style"/>
        </w:rPr>
        <w:t>t</w:t>
      </w:r>
      <w:r w:rsidR="00C92A18">
        <w:rPr>
          <w:rFonts w:ascii="Bookman Old Style" w:hAnsi="Bookman Old Style"/>
        </w:rPr>
        <w:t>i</w:t>
      </w:r>
      <w:r>
        <w:rPr>
          <w:rFonts w:ascii="Bookman Old Style" w:hAnsi="Bookman Old Style"/>
        </w:rPr>
        <w:t>on pursuant to the termination section.</w:t>
      </w:r>
      <w:r w:rsidRPr="00160AF7">
        <w:rPr>
          <w:rFonts w:ascii="Bookman Old Style" w:hAnsi="Bookman Old Style"/>
        </w:rPr>
        <w:t xml:space="preserve"> </w:t>
      </w:r>
    </w:p>
    <w:p w:rsidR="00C92A18" w:rsidRDefault="00C92A18" w:rsidP="00160AF7">
      <w:pPr>
        <w:pStyle w:val="NoSpacing"/>
        <w:rPr>
          <w:rFonts w:ascii="Bookman Old Style" w:hAnsi="Bookman Old Style"/>
        </w:rPr>
      </w:pPr>
    </w:p>
    <w:p w:rsidR="00373A4F" w:rsidRDefault="00373A4F" w:rsidP="00160AF7">
      <w:pPr>
        <w:pStyle w:val="NoSpacing"/>
        <w:rPr>
          <w:rFonts w:ascii="Bookman Old Style" w:hAnsi="Bookman Old Style"/>
          <w:b/>
        </w:rPr>
      </w:pPr>
    </w:p>
    <w:p w:rsidR="00C92A18" w:rsidRDefault="00C92A18" w:rsidP="00160AF7">
      <w:pPr>
        <w:pStyle w:val="NoSpacing"/>
        <w:rPr>
          <w:rFonts w:ascii="Bookman Old Style" w:hAnsi="Bookman Old Style"/>
        </w:rPr>
      </w:pPr>
      <w:r>
        <w:rPr>
          <w:rFonts w:ascii="Bookman Old Style" w:hAnsi="Bookman Old Style"/>
          <w:b/>
        </w:rPr>
        <w:t>AMENDMENTS/NOTICES</w:t>
      </w:r>
    </w:p>
    <w:p w:rsidR="00C92A18" w:rsidRDefault="00C92A18" w:rsidP="00160AF7">
      <w:pPr>
        <w:pStyle w:val="NoSpacing"/>
        <w:rPr>
          <w:rFonts w:ascii="Bookman Old Style" w:hAnsi="Bookman Old Style"/>
        </w:rPr>
      </w:pPr>
    </w:p>
    <w:p w:rsidR="00C92A18" w:rsidRDefault="00C92A18" w:rsidP="00160AF7">
      <w:pPr>
        <w:pStyle w:val="NoSpacing"/>
        <w:rPr>
          <w:rFonts w:ascii="Bookman Old Style" w:hAnsi="Bookman Old Style"/>
        </w:rPr>
      </w:pPr>
      <w:r>
        <w:rPr>
          <w:rFonts w:ascii="Bookman Old Style" w:hAnsi="Bookman Old Style"/>
        </w:rPr>
        <w:t xml:space="preserve">This MOU may be amended in writing by either party and is in effect upon signature of both parties, Notices shall be mailed, </w:t>
      </w:r>
      <w:r w:rsidR="00373A4F">
        <w:rPr>
          <w:rFonts w:ascii="Bookman Old Style" w:hAnsi="Bookman Old Style"/>
        </w:rPr>
        <w:t>emailed,</w:t>
      </w:r>
      <w:r>
        <w:rPr>
          <w:rFonts w:ascii="Bookman Old Style" w:hAnsi="Bookman Old Style"/>
        </w:rPr>
        <w:t xml:space="preserve"> or delivered to:</w:t>
      </w:r>
    </w:p>
    <w:p w:rsidR="00C92A18" w:rsidRDefault="00C92A18" w:rsidP="00160AF7">
      <w:pPr>
        <w:pStyle w:val="NoSpacing"/>
        <w:rPr>
          <w:rFonts w:ascii="Bookman Old Style" w:hAnsi="Bookman Old Style"/>
        </w:rPr>
      </w:pPr>
    </w:p>
    <w:p w:rsidR="00C92A18" w:rsidRDefault="00C92A18" w:rsidP="00C92A18">
      <w:pPr>
        <w:pStyle w:val="NoSpacing"/>
        <w:numPr>
          <w:ilvl w:val="0"/>
          <w:numId w:val="4"/>
        </w:numPr>
        <w:rPr>
          <w:rFonts w:ascii="Bookman Old Style" w:hAnsi="Bookman Old Style"/>
        </w:rPr>
      </w:pPr>
      <w:r>
        <w:rPr>
          <w:rFonts w:ascii="Bookman Old Style" w:hAnsi="Bookman Old Style"/>
        </w:rPr>
        <w:t>Columbus-Muscogee/Russell County Continuum of Care Board</w:t>
      </w:r>
    </w:p>
    <w:p w:rsidR="00C92A18" w:rsidRDefault="00C92A18" w:rsidP="00C92A18">
      <w:pPr>
        <w:pStyle w:val="NoSpacing"/>
        <w:numPr>
          <w:ilvl w:val="0"/>
          <w:numId w:val="4"/>
        </w:numPr>
        <w:rPr>
          <w:rFonts w:ascii="Bookman Old Style" w:hAnsi="Bookman Old Style"/>
        </w:rPr>
      </w:pPr>
      <w:r>
        <w:rPr>
          <w:rFonts w:ascii="Bookman Old Style" w:hAnsi="Bookman Old Style"/>
        </w:rPr>
        <w:t>President / Executive Director, Home for Good</w:t>
      </w:r>
    </w:p>
    <w:p w:rsidR="00C92A18" w:rsidRDefault="00C92A18" w:rsidP="00C92A18">
      <w:pPr>
        <w:pStyle w:val="NoSpacing"/>
        <w:rPr>
          <w:rFonts w:ascii="Bookman Old Style" w:hAnsi="Bookman Old Style"/>
        </w:rPr>
      </w:pPr>
    </w:p>
    <w:p w:rsidR="00C92A18" w:rsidRDefault="00C92A18" w:rsidP="00C92A18">
      <w:pPr>
        <w:pStyle w:val="NoSpacing"/>
        <w:rPr>
          <w:rFonts w:ascii="Bookman Old Style" w:hAnsi="Bookman Old Style"/>
        </w:rPr>
      </w:pPr>
      <w:r>
        <w:rPr>
          <w:rFonts w:ascii="Bookman Old Style" w:hAnsi="Bookman Old Style"/>
          <w:b/>
        </w:rPr>
        <w:t>TERMINATION</w:t>
      </w:r>
    </w:p>
    <w:p w:rsidR="00C92A18" w:rsidRDefault="00C92A18" w:rsidP="00C92A18">
      <w:pPr>
        <w:pStyle w:val="NoSpacing"/>
        <w:rPr>
          <w:rFonts w:ascii="Bookman Old Style" w:hAnsi="Bookman Old Style"/>
        </w:rPr>
      </w:pPr>
    </w:p>
    <w:p w:rsidR="00C92A18" w:rsidRDefault="00C92A18" w:rsidP="00C92A18">
      <w:pPr>
        <w:pStyle w:val="NoSpacing"/>
        <w:rPr>
          <w:rFonts w:ascii="Bookman Old Style" w:hAnsi="Bookman Old Style"/>
        </w:rPr>
      </w:pPr>
      <w:r>
        <w:rPr>
          <w:rFonts w:ascii="Bookman Old Style" w:hAnsi="Bookman Old Style"/>
        </w:rPr>
        <w:t>Either party may terminate this MOU at a date prior to the renewal date specified in the MOU by giving 120 days written notice to the other party.  If the HUD CoC Program Planning Grant funds relied upon to undertake activities described in the MOU are withdrawn or reduced, or if additional conditions are placed on such funding, any party may terminate this MOU within 30 days by providing written notice to the other party.  The termination shall be effective on the date specified in the notice of termination.</w:t>
      </w:r>
    </w:p>
    <w:p w:rsidR="00C92A18" w:rsidRDefault="00C92A18" w:rsidP="00C92A18">
      <w:pPr>
        <w:pStyle w:val="NoSpacing"/>
        <w:rPr>
          <w:rFonts w:ascii="Bookman Old Style" w:hAnsi="Bookman Old Style"/>
        </w:rPr>
      </w:pPr>
    </w:p>
    <w:p w:rsidR="00C92A18" w:rsidRDefault="00C92A18" w:rsidP="00C92A18">
      <w:pPr>
        <w:pStyle w:val="NoSpacing"/>
        <w:rPr>
          <w:rFonts w:ascii="Bookman Old Style" w:hAnsi="Bookman Old Style"/>
        </w:rPr>
      </w:pPr>
      <w:r>
        <w:rPr>
          <w:rFonts w:ascii="Bookman Old Style" w:hAnsi="Bookman Old Style"/>
        </w:rPr>
        <w:t>Signatures:</w:t>
      </w:r>
    </w:p>
    <w:p w:rsidR="00C92A18" w:rsidRDefault="00C92A18" w:rsidP="00C92A18">
      <w:pPr>
        <w:pStyle w:val="NoSpacing"/>
        <w:rPr>
          <w:rFonts w:ascii="Bookman Old Style" w:hAnsi="Bookman Old Style"/>
        </w:rPr>
      </w:pPr>
    </w:p>
    <w:p w:rsidR="00C92A18" w:rsidRDefault="00C92A18" w:rsidP="00C92A18">
      <w:pPr>
        <w:pStyle w:val="NoSpacing"/>
        <w:rPr>
          <w:rFonts w:ascii="Bookman Old Style" w:hAnsi="Bookman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92A18" w:rsidTr="000019E2">
        <w:tc>
          <w:tcPr>
            <w:tcW w:w="4675" w:type="dxa"/>
          </w:tcPr>
          <w:p w:rsidR="00C92A18" w:rsidRDefault="000019E2" w:rsidP="00C92A18">
            <w:pPr>
              <w:pStyle w:val="NoSpacing"/>
              <w:rPr>
                <w:rFonts w:ascii="Bookman Old Style" w:hAnsi="Bookman Old Style"/>
              </w:rPr>
            </w:pPr>
            <w:r>
              <w:rPr>
                <w:rFonts w:ascii="Bookman Old Style" w:hAnsi="Bookman Old Style"/>
              </w:rPr>
              <w:t>___________________________________</w:t>
            </w:r>
          </w:p>
        </w:tc>
        <w:tc>
          <w:tcPr>
            <w:tcW w:w="4675" w:type="dxa"/>
          </w:tcPr>
          <w:p w:rsidR="00C92A18" w:rsidRDefault="000019E2" w:rsidP="00C92A18">
            <w:pPr>
              <w:pStyle w:val="NoSpacing"/>
              <w:rPr>
                <w:rFonts w:ascii="Bookman Old Style" w:hAnsi="Bookman Old Style"/>
              </w:rPr>
            </w:pPr>
            <w:r>
              <w:rPr>
                <w:rFonts w:ascii="Bookman Old Style" w:hAnsi="Bookman Old Style"/>
              </w:rPr>
              <w:t>______________________________________</w:t>
            </w:r>
          </w:p>
        </w:tc>
      </w:tr>
      <w:tr w:rsidR="00C92A18" w:rsidTr="000019E2">
        <w:tc>
          <w:tcPr>
            <w:tcW w:w="4675" w:type="dxa"/>
          </w:tcPr>
          <w:p w:rsidR="00C92A18" w:rsidRDefault="000019E2" w:rsidP="00C92A18">
            <w:pPr>
              <w:pStyle w:val="NoSpacing"/>
              <w:rPr>
                <w:rFonts w:ascii="Bookman Old Style" w:hAnsi="Bookman Old Style"/>
              </w:rPr>
            </w:pPr>
            <w:r>
              <w:rPr>
                <w:rFonts w:ascii="Bookman Old Style" w:hAnsi="Bookman Old Style"/>
              </w:rPr>
              <w:t>Beth Schwartz, Chair</w:t>
            </w:r>
          </w:p>
        </w:tc>
        <w:tc>
          <w:tcPr>
            <w:tcW w:w="4675" w:type="dxa"/>
          </w:tcPr>
          <w:p w:rsidR="00C92A18" w:rsidRDefault="000019E2" w:rsidP="00C92A18">
            <w:pPr>
              <w:pStyle w:val="NoSpacing"/>
              <w:rPr>
                <w:rFonts w:ascii="Bookman Old Style" w:hAnsi="Bookman Old Style"/>
              </w:rPr>
            </w:pPr>
            <w:r>
              <w:rPr>
                <w:rFonts w:ascii="Bookman Old Style" w:hAnsi="Bookman Old Style"/>
              </w:rPr>
              <w:t>Pat Frey, Executive Director</w:t>
            </w:r>
          </w:p>
        </w:tc>
      </w:tr>
      <w:tr w:rsidR="000019E2" w:rsidTr="000019E2">
        <w:tc>
          <w:tcPr>
            <w:tcW w:w="4675" w:type="dxa"/>
          </w:tcPr>
          <w:p w:rsidR="000019E2" w:rsidRDefault="000019E2" w:rsidP="000019E2">
            <w:pPr>
              <w:pStyle w:val="NoSpacing"/>
              <w:rPr>
                <w:rFonts w:ascii="Bookman Old Style" w:hAnsi="Bookman Old Style"/>
              </w:rPr>
            </w:pPr>
            <w:r>
              <w:rPr>
                <w:rFonts w:ascii="Bookman Old Style" w:hAnsi="Bookman Old Style"/>
              </w:rPr>
              <w:t>CoC GA-505 Board of Directors</w:t>
            </w:r>
          </w:p>
        </w:tc>
        <w:tc>
          <w:tcPr>
            <w:tcW w:w="4675" w:type="dxa"/>
          </w:tcPr>
          <w:p w:rsidR="000019E2" w:rsidRDefault="000019E2" w:rsidP="000019E2">
            <w:pPr>
              <w:pStyle w:val="NoSpacing"/>
              <w:rPr>
                <w:rFonts w:ascii="Bookman Old Style" w:hAnsi="Bookman Old Style"/>
              </w:rPr>
            </w:pPr>
            <w:r>
              <w:rPr>
                <w:rFonts w:ascii="Bookman Old Style" w:hAnsi="Bookman Old Style"/>
              </w:rPr>
              <w:t>Home for Good</w:t>
            </w:r>
          </w:p>
        </w:tc>
      </w:tr>
      <w:tr w:rsidR="000019E2" w:rsidTr="000019E2">
        <w:tc>
          <w:tcPr>
            <w:tcW w:w="4675" w:type="dxa"/>
          </w:tcPr>
          <w:p w:rsidR="000019E2" w:rsidRDefault="000019E2" w:rsidP="00C92A18">
            <w:pPr>
              <w:pStyle w:val="NoSpacing"/>
              <w:rPr>
                <w:rFonts w:ascii="Bookman Old Style" w:hAnsi="Bookman Old Style"/>
              </w:rPr>
            </w:pPr>
          </w:p>
          <w:p w:rsidR="000019E2" w:rsidRDefault="000019E2" w:rsidP="00C92A18">
            <w:pPr>
              <w:pStyle w:val="NoSpacing"/>
              <w:rPr>
                <w:rFonts w:ascii="Bookman Old Style" w:hAnsi="Bookman Old Style"/>
              </w:rPr>
            </w:pPr>
            <w:r>
              <w:rPr>
                <w:rFonts w:ascii="Bookman Old Style" w:hAnsi="Bookman Old Style"/>
              </w:rPr>
              <w:t>___________________________________</w:t>
            </w:r>
          </w:p>
        </w:tc>
        <w:tc>
          <w:tcPr>
            <w:tcW w:w="4675" w:type="dxa"/>
          </w:tcPr>
          <w:p w:rsidR="000019E2" w:rsidRDefault="000019E2" w:rsidP="00C92A18">
            <w:pPr>
              <w:pStyle w:val="NoSpacing"/>
              <w:rPr>
                <w:rFonts w:ascii="Bookman Old Style" w:hAnsi="Bookman Old Style"/>
              </w:rPr>
            </w:pPr>
          </w:p>
          <w:p w:rsidR="000019E2" w:rsidRDefault="000019E2" w:rsidP="00C92A18">
            <w:pPr>
              <w:pStyle w:val="NoSpacing"/>
              <w:rPr>
                <w:rFonts w:ascii="Bookman Old Style" w:hAnsi="Bookman Old Style"/>
              </w:rPr>
            </w:pPr>
            <w:r>
              <w:rPr>
                <w:rFonts w:ascii="Bookman Old Style" w:hAnsi="Bookman Old Style"/>
              </w:rPr>
              <w:t>______________________________________</w:t>
            </w:r>
          </w:p>
        </w:tc>
      </w:tr>
      <w:tr w:rsidR="000019E2" w:rsidTr="000019E2">
        <w:tc>
          <w:tcPr>
            <w:tcW w:w="4675" w:type="dxa"/>
          </w:tcPr>
          <w:p w:rsidR="000019E2" w:rsidRDefault="000019E2" w:rsidP="00C92A18">
            <w:pPr>
              <w:pStyle w:val="NoSpacing"/>
              <w:rPr>
                <w:rFonts w:ascii="Bookman Old Style" w:hAnsi="Bookman Old Style"/>
              </w:rPr>
            </w:pPr>
            <w:r>
              <w:rPr>
                <w:rFonts w:ascii="Bookman Old Style" w:hAnsi="Bookman Old Style"/>
              </w:rPr>
              <w:t>Date</w:t>
            </w:r>
          </w:p>
        </w:tc>
        <w:tc>
          <w:tcPr>
            <w:tcW w:w="4675" w:type="dxa"/>
          </w:tcPr>
          <w:p w:rsidR="000019E2" w:rsidRDefault="000019E2" w:rsidP="00C92A18">
            <w:pPr>
              <w:pStyle w:val="NoSpacing"/>
              <w:rPr>
                <w:rFonts w:ascii="Bookman Old Style" w:hAnsi="Bookman Old Style"/>
              </w:rPr>
            </w:pPr>
            <w:r>
              <w:rPr>
                <w:rFonts w:ascii="Bookman Old Style" w:hAnsi="Bookman Old Style"/>
              </w:rPr>
              <w:t>Date</w:t>
            </w:r>
          </w:p>
        </w:tc>
      </w:tr>
    </w:tbl>
    <w:p w:rsidR="00C92A18" w:rsidRPr="00C92A18" w:rsidRDefault="00C92A18" w:rsidP="00C92A18">
      <w:pPr>
        <w:pStyle w:val="NoSpacing"/>
        <w:rPr>
          <w:rFonts w:ascii="Bookman Old Style" w:hAnsi="Bookman Old Style"/>
        </w:rPr>
      </w:pPr>
    </w:p>
    <w:sectPr w:rsidR="00C92A18" w:rsidRPr="00C92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690"/>
    <w:multiLevelType w:val="hybridMultilevel"/>
    <w:tmpl w:val="F2D4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A5AD4"/>
    <w:multiLevelType w:val="hybridMultilevel"/>
    <w:tmpl w:val="725210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3663D"/>
    <w:multiLevelType w:val="hybridMultilevel"/>
    <w:tmpl w:val="EE0E43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3318B"/>
    <w:multiLevelType w:val="hybridMultilevel"/>
    <w:tmpl w:val="A77E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3"/>
    <w:rsid w:val="000019E2"/>
    <w:rsid w:val="00105613"/>
    <w:rsid w:val="00160AF7"/>
    <w:rsid w:val="00373A4F"/>
    <w:rsid w:val="00376596"/>
    <w:rsid w:val="004B16ED"/>
    <w:rsid w:val="005D6149"/>
    <w:rsid w:val="008B1810"/>
    <w:rsid w:val="00937690"/>
    <w:rsid w:val="00C51198"/>
    <w:rsid w:val="00C92A18"/>
    <w:rsid w:val="00CB7DDB"/>
    <w:rsid w:val="00DE68D0"/>
    <w:rsid w:val="00E468DC"/>
    <w:rsid w:val="00EA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613"/>
    <w:pPr>
      <w:spacing w:after="0" w:line="240" w:lineRule="auto"/>
    </w:pPr>
  </w:style>
  <w:style w:type="table" w:styleId="TableGrid">
    <w:name w:val="Table Grid"/>
    <w:basedOn w:val="TableNormal"/>
    <w:uiPriority w:val="39"/>
    <w:rsid w:val="00C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9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613"/>
    <w:pPr>
      <w:spacing w:after="0" w:line="240" w:lineRule="auto"/>
    </w:pPr>
  </w:style>
  <w:style w:type="table" w:styleId="TableGrid">
    <w:name w:val="Table Grid"/>
    <w:basedOn w:val="TableNormal"/>
    <w:uiPriority w:val="39"/>
    <w:rsid w:val="00C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LaMee</dc:creator>
  <cp:lastModifiedBy>Merlecia Shell</cp:lastModifiedBy>
  <cp:revision>2</cp:revision>
  <cp:lastPrinted>2017-06-07T18:22:00Z</cp:lastPrinted>
  <dcterms:created xsi:type="dcterms:W3CDTF">2017-07-24T13:11:00Z</dcterms:created>
  <dcterms:modified xsi:type="dcterms:W3CDTF">2017-07-24T13:11:00Z</dcterms:modified>
</cp:coreProperties>
</file>